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140" w:after="120"/>
        <w:jc w:val="left"/>
        <w:rPr/>
      </w:pPr>
      <w:r>
        <w:rPr/>
        <w:t>KB/LOAR Annual Report 2022 to DataCite-DeIC Consortium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Member institution: The Royal Library (KB)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Repository: Library Open Access Repository (LOAR)</w:t>
      </w:r>
    </w:p>
    <w:p>
      <w:pPr>
        <w:pStyle w:val="Normal"/>
        <w:bidi w:val="0"/>
        <w:jc w:val="left"/>
        <w:rPr/>
      </w:pPr>
      <w:r>
        <w:rPr>
          <w:i/>
          <w:iCs/>
        </w:rPr>
        <w:t>Author: Bolette A. Jurik (</w:t>
      </w:r>
      <w:hyperlink r:id="rId2">
        <w:r>
          <w:rPr>
            <w:rStyle w:val="InternetLink"/>
            <w:i/>
            <w:iCs/>
          </w:rPr>
          <w:t>baj@kb.dk</w:t>
        </w:r>
      </w:hyperlink>
      <w:r>
        <w:rPr>
          <w:i/>
          <w:iCs/>
        </w:rPr>
        <w:t>)</w:t>
      </w:r>
    </w:p>
    <w:p>
      <w:pPr>
        <w:pStyle w:val="ListContents"/>
        <w:bidi w:val="0"/>
        <w:ind w:left="0" w:right="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Library Open Access Repository (LOAR) is an open data repository established </w:t>
      </w:r>
      <w:r>
        <w:rPr/>
        <w:t xml:space="preserve">at The Royal Library </w:t>
      </w:r>
      <w:r>
        <w:rPr/>
        <w:t>in 2016 as a service for storing and providing access to Danish research data.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Repository URL: </w:t>
      </w:r>
      <w:hyperlink r:id="rId3">
        <w:r>
          <w:rPr>
            <w:rStyle w:val="InternetLink"/>
          </w:rPr>
          <w:t>https://loar.kb.dk/</w:t>
        </w:r>
      </w:hyperlink>
      <w:r>
        <w:rPr/>
        <w:t xml:space="preserve"> 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re3data Record: </w:t>
      </w:r>
      <w:hyperlink r:id="rId4">
        <w:r>
          <w:rPr>
            <w:rStyle w:val="InternetLink"/>
          </w:rPr>
          <w:t>https://doi.org/10.17616/R31NJM89</w:t>
        </w:r>
      </w:hyperlink>
      <w:r>
        <w:rPr/>
        <w:t xml:space="preserve"> 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7,610 </w:t>
      </w:r>
      <w:r>
        <w:rPr/>
        <w:t xml:space="preserve">DataCite </w:t>
      </w:r>
      <w:r>
        <w:rPr/>
        <w:t>DOIs</w:t>
      </w:r>
    </w:p>
    <w:tbl>
      <w:tblPr>
        <w:tblW w:w="1981" w:type="dxa"/>
        <w:jc w:val="left"/>
        <w:tblInd w:w="7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"/>
        <w:gridCol w:w="1017"/>
      </w:tblGrid>
      <w:tr>
        <w:trPr/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created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3,489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3,791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Mission statement: </w:t>
      </w:r>
      <w:hyperlink r:id="rId5">
        <w:r>
          <w:rPr>
            <w:rStyle w:val="InternetLink"/>
          </w:rPr>
          <w:t>https://loar.kb.dk/kb/about.jsp</w:t>
        </w:r>
      </w:hyperlink>
      <w:r>
        <w:rPr/>
        <w:t xml:space="preserve">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Development plan: Upgrade Dspace 6.3 to Dspace 7.1 spring 2022</w:t>
      </w:r>
    </w:p>
    <w:p>
      <w:pPr>
        <w:pStyle w:val="Normal"/>
        <w:numPr>
          <w:ilvl w:val="1"/>
          <w:numId w:val="3"/>
        </w:numPr>
        <w:bidi w:val="0"/>
        <w:jc w:val="left"/>
        <w:rPr/>
      </w:pPr>
      <w:r>
        <w:rPr/>
        <w:t>No further strategy or action plans in relation to DataCite DOI services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Content plan: More newspaper collections; now with jpg spring 2022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 w:eastAsia="Verdana" w:cs="Verdana"/>
          <w:i w:val="false"/>
          <w:i w:val="false"/>
          <w:iCs w:val="false"/>
          <w:sz w:val="24"/>
          <w:szCs w:val="24"/>
        </w:rPr>
      </w:pP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 xml:space="preserve">The Royal Library (KB) 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>uses PIDs in different contexts.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Liberation Serif" w:hAnsi="Liberation Serif" w:eastAsia="Verdana" w:cs="Verdana"/>
          <w:i w:val="false"/>
          <w:i w:val="false"/>
          <w:iCs w:val="false"/>
          <w:sz w:val="24"/>
          <w:szCs w:val="24"/>
        </w:rPr>
      </w:pP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>For the internal digital preservation systems, KB uses an internal handle-server. This handle server issues millions of PIDs for digital objects. The decision to use an internal handle server was made many years ago primarily based on economics. KB has a policy for PIDs as part of the Digital Preservation Policy.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Liberation Serif" w:hAnsi="Liberation Serif"/>
          <w:sz w:val="24"/>
        </w:rPr>
      </w:pPr>
      <w:r>
        <w:rPr>
          <w:rFonts w:eastAsia="Verdana" w:cs="Verdana" w:ascii="Liberation Serif" w:hAnsi="Liberation Serif"/>
          <w:i w:val="false"/>
          <w:iCs w:val="false"/>
          <w:color w:val="000000"/>
          <w:sz w:val="24"/>
          <w:szCs w:val="24"/>
        </w:rPr>
        <w:t xml:space="preserve">The KB national journal portal </w:t>
      </w:r>
      <w:hyperlink r:id="rId6">
        <w:r>
          <w:rPr>
            <w:rStyle w:val="InternetLink"/>
            <w:rFonts w:eastAsia="Verdana" w:cs="Verdana" w:ascii="Liberation Serif" w:hAnsi="Liberation Serif"/>
            <w:i w:val="false"/>
            <w:iCs w:val="false"/>
            <w:color w:val="000000"/>
            <w:sz w:val="24"/>
            <w:szCs w:val="24"/>
          </w:rPr>
          <w:t>https://tidsskrift.dk/</w:t>
        </w:r>
      </w:hyperlink>
      <w:r>
        <w:rPr>
          <w:rFonts w:eastAsia="Verdana" w:cs="Verdana" w:ascii="Liberation Serif" w:hAnsi="Liberation Serif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eastAsia="Verdana" w:cs="Verdana" w:ascii="Liberation Serif" w:hAnsi="Liberation Serif"/>
          <w:i w:val="false"/>
          <w:iCs w:val="false"/>
          <w:color w:val="000000"/>
          <w:sz w:val="24"/>
          <w:szCs w:val="24"/>
        </w:rPr>
        <w:t xml:space="preserve">uses Crossref DOIs. </w:t>
      </w:r>
      <w:r>
        <w:rPr>
          <w:rFonts w:eastAsia="Verdana" w:cs="Verdana" w:ascii="Liberation Serif" w:hAnsi="Liberation Serif"/>
          <w:i w:val="false"/>
          <w:iCs w:val="false"/>
          <w:color w:val="000000"/>
          <w:sz w:val="24"/>
          <w:szCs w:val="24"/>
        </w:rPr>
        <w:t xml:space="preserve">KB has issued a total of </w:t>
      </w:r>
      <w:r>
        <w:rPr>
          <w:rFonts w:ascii="Liberation Serif" w:hAnsi="Liberation Serif"/>
          <w:color w:val="000000"/>
          <w:sz w:val="24"/>
          <w:szCs w:val="24"/>
          <w:lang w:val="da-DK"/>
        </w:rPr>
        <w:t xml:space="preserve">26.373 </w:t>
      </w:r>
      <w:r>
        <w:rPr>
          <w:rFonts w:eastAsia="Verdana" w:cs="Verdana" w:ascii="Liberation Serif" w:hAnsi="Liberation Serif"/>
          <w:i w:val="false"/>
          <w:iCs w:val="false"/>
          <w:color w:val="000000"/>
          <w:sz w:val="24"/>
          <w:szCs w:val="24"/>
          <w:lang w:val="da-DK"/>
        </w:rPr>
        <w:t xml:space="preserve">Crossref DOIs </w:t>
      </w:r>
      <w:r>
        <w:rPr>
          <w:rFonts w:ascii="Liberation Serif" w:hAnsi="Liberation Serif"/>
          <w:color w:val="000000"/>
          <w:sz w:val="24"/>
          <w:szCs w:val="24"/>
          <w:lang w:val="da-DK"/>
        </w:rPr>
        <w:t xml:space="preserve">– 2.417 </w:t>
      </w:r>
      <w:r>
        <w:rPr>
          <w:rFonts w:ascii="Liberation Serif" w:hAnsi="Liberation Serif"/>
          <w:color w:val="000000"/>
          <w:sz w:val="24"/>
          <w:szCs w:val="24"/>
          <w:lang w:val="da-DK"/>
        </w:rPr>
        <w:t>new</w:t>
      </w:r>
      <w:r>
        <w:rPr>
          <w:rFonts w:ascii="Liberation Serif" w:hAnsi="Liberation Serif"/>
          <w:color w:val="000000"/>
          <w:sz w:val="24"/>
          <w:szCs w:val="24"/>
          <w:lang w:val="da-DK"/>
        </w:rPr>
        <w:t xml:space="preserve"> i</w:t>
      </w:r>
      <w:r>
        <w:rPr>
          <w:rFonts w:ascii="Liberation Serif" w:hAnsi="Liberation Serif"/>
          <w:color w:val="000000"/>
          <w:sz w:val="24"/>
          <w:szCs w:val="24"/>
          <w:lang w:val="da-DK"/>
        </w:rPr>
        <w:t>n</w:t>
      </w:r>
      <w:r>
        <w:rPr>
          <w:rFonts w:ascii="Liberation Serif" w:hAnsi="Liberation Serif"/>
          <w:color w:val="000000"/>
          <w:sz w:val="24"/>
          <w:szCs w:val="24"/>
          <w:lang w:val="da-DK"/>
        </w:rPr>
        <w:t xml:space="preserve"> 2021.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Liberation Serif" w:hAnsi="Liberation Serif" w:eastAsia="Verdana" w:cs="Verdana"/>
          <w:i w:val="false"/>
          <w:i w:val="false"/>
          <w:iCs w:val="false"/>
          <w:sz w:val="24"/>
          <w:szCs w:val="24"/>
        </w:rPr>
      </w:pP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 xml:space="preserve">LOAR 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 xml:space="preserve">uses 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>DataCite DOI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 xml:space="preserve">s for open research data deposited by Danish researchers and open cultural heritage data from KB collections provided for researchers. 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>Persistent Identifier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>s a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 xml:space="preserve">re 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>the first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 xml:space="preserve"> important 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 xml:space="preserve">step in making research data FAIR. </w:t>
      </w: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 xml:space="preserve">An advantage of DOIs is the registration and possibility of global searches, such as </w:t>
      </w:r>
      <w:hyperlink r:id="rId7">
        <w:r>
          <w:rPr>
            <w:rStyle w:val="InternetLink"/>
            <w:rFonts w:eastAsia="Verdana" w:cs="Verdana" w:ascii="Liberation Serif" w:hAnsi="Liberation Serif"/>
            <w:i w:val="false"/>
            <w:iCs w:val="false"/>
            <w:sz w:val="24"/>
            <w:szCs w:val="24"/>
          </w:rPr>
          <w:t>https://search.datacite.org/</w:t>
        </w:r>
      </w:hyperlink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  <w:t>.</w:t>
      </w:r>
    </w:p>
    <w:p>
      <w:pPr>
        <w:pStyle w:val="Normal"/>
        <w:bidi w:val="0"/>
        <w:jc w:val="left"/>
        <w:rPr>
          <w:rFonts w:ascii="Liberation Serif" w:hAnsi="Liberation Serif" w:eastAsia="Verdana" w:cs="Verdana"/>
          <w:i w:val="false"/>
          <w:i w:val="false"/>
          <w:iCs w:val="false"/>
          <w:sz w:val="24"/>
          <w:szCs w:val="24"/>
        </w:rPr>
      </w:pPr>
      <w:r>
        <w:rPr>
          <w:rFonts w:eastAsia="Verdana" w:cs="Verdana" w:ascii="Liberation Serif" w:hAnsi="Liberation Serif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eastAsia="Verdana" w:cs="Verdana"/>
          <w:sz w:val="24"/>
          <w:szCs w:val="24"/>
        </w:rPr>
      </w:pPr>
      <w:r>
        <w:rPr>
          <w:rFonts w:eastAsia="Verdana" w:cs="Verdana" w:ascii="Liberation Serif" w:hAnsi="Liberation Serif"/>
          <w:sz w:val="24"/>
          <w:szCs w:val="24"/>
        </w:rPr>
        <w:t xml:space="preserve">The </w:t>
      </w:r>
      <w:r>
        <w:rPr>
          <w:rFonts w:eastAsia="Verdana" w:cs="Verdana" w:ascii="Liberation Serif" w:hAnsi="Liberation Serif"/>
          <w:sz w:val="24"/>
          <w:szCs w:val="24"/>
        </w:rPr>
        <w:t xml:space="preserve">DataCite DOI services </w:t>
      </w:r>
      <w:r>
        <w:rPr>
          <w:rFonts w:eastAsia="Verdana" w:cs="Verdana" w:ascii="Liberation Serif" w:hAnsi="Liberation Serif"/>
          <w:sz w:val="24"/>
          <w:szCs w:val="24"/>
        </w:rPr>
        <w:t xml:space="preserve">meet </w:t>
      </w:r>
      <w:r>
        <w:rPr>
          <w:rFonts w:eastAsia="Verdana" w:cs="Verdana" w:ascii="Liberation Serif" w:hAnsi="Liberation Serif"/>
          <w:sz w:val="24"/>
          <w:szCs w:val="24"/>
        </w:rPr>
        <w:t>KBs</w:t>
      </w:r>
      <w:r>
        <w:rPr>
          <w:rFonts w:eastAsia="Verdana" w:cs="Verdana" w:ascii="Liberation Serif" w:hAnsi="Liberation Serif"/>
          <w:sz w:val="24"/>
          <w:szCs w:val="24"/>
        </w:rPr>
        <w:t xml:space="preserve"> requirements, and we are satisfied with the services.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Droid Sans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Droid Sans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oto Sans CJK SC" w:cs="Droid Sans Devanagari"/>
      <w:b/>
      <w:b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0"/>
        <w:numId w:val="0"/>
      </w:numPr>
      <w:spacing w:before="120" w:after="60"/>
      <w:outlineLvl w:val="4"/>
    </w:pPr>
    <w:rPr>
      <w:rFonts w:ascii="Liberation Serif" w:hAnsi="Liberation Serif" w:eastAsia="Noto Sans CJK SC" w:cs="Droid Sans Devanagari"/>
      <w:b/>
      <w:bCs/>
      <w:sz w:val="20"/>
      <w:szCs w:val="20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Noto Sans CJK SC" w:cs="Droid Sans Devanagari"/>
      <w:color w:val="auto"/>
      <w:kern w:val="2"/>
      <w:sz w:val="24"/>
      <w:szCs w:val="24"/>
      <w:lang w:val="en-GB" w:eastAsia="zh-CN" w:bidi="hi-IN"/>
    </w:rPr>
  </w:style>
  <w:style w:type="paragraph" w:styleId="Heading10">
    <w:name w:val="Heading 10"/>
    <w:basedOn w:val="Heading"/>
    <w:next w:val="TextBod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j@kb.dk" TargetMode="External"/><Relationship Id="rId3" Type="http://schemas.openxmlformats.org/officeDocument/2006/relationships/hyperlink" Target="https://loar.kb.dk/" TargetMode="External"/><Relationship Id="rId4" Type="http://schemas.openxmlformats.org/officeDocument/2006/relationships/hyperlink" Target="https://doi.org/10.17616/R31NJM89" TargetMode="External"/><Relationship Id="rId5" Type="http://schemas.openxmlformats.org/officeDocument/2006/relationships/hyperlink" Target="https://loar.kb.dk/kb/about.jsp" TargetMode="External"/><Relationship Id="rId6" Type="http://schemas.openxmlformats.org/officeDocument/2006/relationships/hyperlink" Target="https://tidsskrift.dk/" TargetMode="External"/><Relationship Id="rId7" Type="http://schemas.openxmlformats.org/officeDocument/2006/relationships/hyperlink" Target="https://search.datacite.org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5640</TotalTime>
  <Application>LibreOffice/7.2.5.2.0$Linux_X86_64 LibreOffice_project/20$Build-2</Application>
  <AppVersion>15.0000</AppVersion>
  <Pages>1</Pages>
  <Words>267</Words>
  <Characters>1496</Characters>
  <CharactersWithSpaces>1727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2022-01-04T10:53:44Z</dcterms:created>
  <dc:creator>Bolette Jurik</dc:creator>
  <dc:description/>
  <dc:language>en-DK</dc:language>
  <cp:lastModifiedBy>Bolette Jurik</cp:lastModifiedBy>
  <dcterms:modified xsi:type="dcterms:W3CDTF">2022-01-18T09:35:50Z</dcterms:modified>
  <cp:revision>5</cp:revision>
  <dc:subject/>
  <dc:title/>
</cp:coreProperties>
</file>